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EE" w:rsidRPr="00D06ED6" w:rsidRDefault="00486DEE" w:rsidP="00486DEE">
      <w:pPr>
        <w:pStyle w:val="a3"/>
        <w:pageBreakBefore/>
        <w:spacing w:after="0"/>
        <w:contextualSpacing/>
        <w:jc w:val="right"/>
        <w:rPr>
          <w:b/>
          <w:bCs/>
        </w:rPr>
      </w:pPr>
      <w:r w:rsidRPr="00D06ED6">
        <w:rPr>
          <w:b/>
          <w:bCs/>
        </w:rPr>
        <w:t>Приложение 6.</w:t>
      </w:r>
    </w:p>
    <w:p w:rsidR="00486DEE" w:rsidRPr="00D06ED6" w:rsidRDefault="00486DEE" w:rsidP="00486DEE">
      <w:pPr>
        <w:pStyle w:val="a3"/>
        <w:spacing w:after="0"/>
        <w:contextualSpacing/>
        <w:rPr>
          <w:b/>
          <w:bCs/>
        </w:rPr>
      </w:pPr>
    </w:p>
    <w:p w:rsidR="00486DEE" w:rsidRPr="00D06ED6" w:rsidRDefault="00486DEE" w:rsidP="00486DEE">
      <w:pPr>
        <w:pStyle w:val="a3"/>
        <w:spacing w:after="0"/>
        <w:contextualSpacing/>
        <w:jc w:val="center"/>
      </w:pPr>
      <w:r w:rsidRPr="00D06ED6">
        <w:rPr>
          <w:b/>
        </w:rPr>
        <w:t>М.3.2. АННОТАЦИЯ ПРОГРАММЫ НАУЧНО-ИССЛЕДОВАТЕЛЬСКОЙ РАБОТЫ (НИР</w:t>
      </w:r>
      <w:r w:rsidRPr="00D06ED6">
        <w:t>)</w:t>
      </w:r>
    </w:p>
    <w:p w:rsidR="00486DEE" w:rsidRPr="00D06ED6" w:rsidRDefault="00486DEE" w:rsidP="00486DEE">
      <w:pPr>
        <w:pStyle w:val="a7"/>
        <w:spacing w:before="0" w:after="0"/>
        <w:contextualSpacing/>
        <w:jc w:val="center"/>
      </w:pPr>
      <w:r w:rsidRPr="00D06ED6">
        <w:t xml:space="preserve">Автор-составитель: </w:t>
      </w:r>
    </w:p>
    <w:p w:rsidR="00486DEE" w:rsidRPr="00D06ED6" w:rsidRDefault="00486DEE" w:rsidP="00486DEE">
      <w:pPr>
        <w:pStyle w:val="a7"/>
        <w:spacing w:before="0" w:after="0"/>
        <w:contextualSpacing/>
        <w:jc w:val="center"/>
      </w:pPr>
      <w:r w:rsidRPr="00D06ED6">
        <w:t>д.ю.н., профессор, профессор кафедры гражданского и административного судопроизводства ФГБОУ ВО «РГУП»</w:t>
      </w:r>
    </w:p>
    <w:p w:rsidR="00486DEE" w:rsidRDefault="00486DEE" w:rsidP="00486DEE">
      <w:pPr>
        <w:pStyle w:val="a7"/>
        <w:spacing w:before="0" w:after="0"/>
        <w:contextualSpacing/>
        <w:jc w:val="center"/>
      </w:pPr>
      <w:r w:rsidRPr="00D06ED6">
        <w:t>Д.А.Фурсов</w:t>
      </w:r>
    </w:p>
    <w:p w:rsidR="00486DEE" w:rsidRPr="00D06ED6" w:rsidRDefault="00486DEE" w:rsidP="00486DEE">
      <w:pPr>
        <w:pStyle w:val="a7"/>
        <w:spacing w:before="0" w:after="0"/>
        <w:contextualSpacing/>
        <w:jc w:val="center"/>
      </w:pPr>
      <w:r w:rsidRPr="00D06ED6">
        <w:t>д.ю.н., доцент, профессор кафедры государственно-правовых дисциплин Рф ФГБОУ ВО «РГУП»</w:t>
      </w:r>
    </w:p>
    <w:p w:rsidR="00486DEE" w:rsidRPr="00D06ED6" w:rsidRDefault="00486DEE" w:rsidP="00486DEE">
      <w:pPr>
        <w:pStyle w:val="a7"/>
        <w:spacing w:before="0" w:after="0"/>
        <w:contextualSpacing/>
        <w:jc w:val="center"/>
      </w:pPr>
      <w:r w:rsidRPr="00D06ED6">
        <w:t>О.В. Шмалий</w:t>
      </w:r>
    </w:p>
    <w:tbl>
      <w:tblPr>
        <w:tblW w:w="0" w:type="auto"/>
        <w:jc w:val="center"/>
        <w:tblInd w:w="-355" w:type="dxa"/>
        <w:tblLayout w:type="fixed"/>
        <w:tblCellMar>
          <w:top w:w="15" w:type="dxa"/>
          <w:left w:w="15" w:type="dxa"/>
          <w:bottom w:w="15" w:type="dxa"/>
          <w:right w:w="15" w:type="dxa"/>
        </w:tblCellMar>
        <w:tblLook w:val="0000"/>
      </w:tblPr>
      <w:tblGrid>
        <w:gridCol w:w="2361"/>
        <w:gridCol w:w="7559"/>
      </w:tblGrid>
      <w:tr w:rsidR="00486DEE" w:rsidRPr="00486DEE" w:rsidTr="00FD01EC">
        <w:trPr>
          <w:jc w:val="center"/>
        </w:trPr>
        <w:tc>
          <w:tcPr>
            <w:tcW w:w="2361" w:type="dxa"/>
            <w:tcBorders>
              <w:top w:val="single" w:sz="4" w:space="0" w:color="000000"/>
              <w:left w:val="single" w:sz="4" w:space="0" w:color="000000"/>
              <w:bottom w:val="single" w:sz="4" w:space="0" w:color="000000"/>
            </w:tcBorders>
            <w:shd w:val="clear" w:color="auto" w:fill="auto"/>
            <w:vAlign w:val="center"/>
          </w:tcPr>
          <w:p w:rsidR="00486DEE" w:rsidRPr="00486DEE" w:rsidRDefault="00486DEE" w:rsidP="00486DEE">
            <w:pPr>
              <w:pStyle w:val="p4"/>
              <w:spacing w:before="0" w:after="0"/>
              <w:rPr>
                <w:rStyle w:val="s3"/>
                <w:b/>
              </w:rPr>
            </w:pPr>
            <w:r w:rsidRPr="00486DEE">
              <w:rPr>
                <w:rStyle w:val="s3"/>
                <w:b/>
              </w:rPr>
              <w:t>Цели</w:t>
            </w:r>
          </w:p>
          <w:p w:rsidR="00486DEE" w:rsidRPr="00486DEE" w:rsidRDefault="00486DEE" w:rsidP="00486DEE">
            <w:pPr>
              <w:pStyle w:val="p4"/>
              <w:spacing w:before="0" w:after="0"/>
              <w:rPr>
                <w:b/>
              </w:rPr>
            </w:pPr>
            <w:r w:rsidRPr="00486DEE">
              <w:rPr>
                <w:rStyle w:val="s3"/>
                <w:b/>
              </w:rPr>
              <w:t>и задачи НИР</w:t>
            </w:r>
          </w:p>
        </w:tc>
        <w:tc>
          <w:tcPr>
            <w:tcW w:w="7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EE" w:rsidRPr="00486DEE" w:rsidRDefault="00486DEE" w:rsidP="00486DEE">
            <w:pPr>
              <w:pStyle w:val="a3"/>
              <w:spacing w:after="0"/>
              <w:ind w:left="175" w:right="125"/>
              <w:jc w:val="both"/>
            </w:pPr>
            <w:r w:rsidRPr="00486DEE">
              <w:t>Цели НИР состоят в формировании творческого личностного потенциала, закреплении навыков, связанных с профессиональной подготовкой магистра, расширении и углублении его аналитических возможностей, освоении избранной специальности и темы исследования на проблемном уровне, приобретении умений планировать и выполнять самостоятельную научную работу, оценивать ее достижения и ошибки, выявлять элементы новизны проводимых исследований.</w:t>
            </w:r>
          </w:p>
          <w:p w:rsidR="00486DEE" w:rsidRPr="00486DEE" w:rsidRDefault="00486DEE" w:rsidP="00486DEE">
            <w:pPr>
              <w:pStyle w:val="a3"/>
              <w:spacing w:after="0"/>
              <w:ind w:left="175" w:right="125"/>
              <w:jc w:val="both"/>
            </w:pPr>
            <w:r w:rsidRPr="00486DEE">
              <w:t>Задачи НИР связаны</w:t>
            </w:r>
          </w:p>
          <w:p w:rsidR="00486DEE" w:rsidRPr="00486DEE" w:rsidRDefault="00486DEE" w:rsidP="00486DEE">
            <w:pPr>
              <w:pStyle w:val="a3"/>
              <w:shd w:val="clear" w:color="auto" w:fill="FFFFFF"/>
              <w:tabs>
                <w:tab w:val="left" w:pos="707"/>
              </w:tabs>
              <w:spacing w:after="0"/>
              <w:ind w:left="175" w:right="125"/>
              <w:jc w:val="both"/>
            </w:pPr>
            <w:r w:rsidRPr="00486DEE">
              <w:t>- с закреплением и углублением знаний в рамках профилирующих дисциплин магистерской подготовки по программе «Правосудие по гражданским, административным делам и экономическим спорам»;</w:t>
            </w:r>
          </w:p>
          <w:p w:rsidR="00486DEE" w:rsidRPr="00486DEE" w:rsidRDefault="00486DEE" w:rsidP="00486DEE">
            <w:pPr>
              <w:pStyle w:val="a3"/>
              <w:shd w:val="clear" w:color="auto" w:fill="FFFFFF"/>
              <w:tabs>
                <w:tab w:val="left" w:pos="707"/>
              </w:tabs>
              <w:spacing w:after="0"/>
              <w:ind w:left="175" w:right="125"/>
              <w:jc w:val="both"/>
            </w:pPr>
            <w:r w:rsidRPr="00486DEE">
              <w:t>- изучением методологии научного исследования, освоением современных методов сбора, анализа и обработки научной информации;</w:t>
            </w:r>
          </w:p>
          <w:p w:rsidR="00486DEE" w:rsidRPr="00486DEE" w:rsidRDefault="00486DEE" w:rsidP="00486DEE">
            <w:pPr>
              <w:pStyle w:val="a3"/>
              <w:shd w:val="clear" w:color="auto" w:fill="FFFFFF"/>
              <w:tabs>
                <w:tab w:val="left" w:pos="707"/>
              </w:tabs>
              <w:spacing w:after="0"/>
              <w:ind w:left="175" w:right="125"/>
              <w:jc w:val="both"/>
            </w:pPr>
            <w:r w:rsidRPr="00486DEE">
              <w:t>- проведением научно-исследовательских работ в пределах проблем, поставленных в магистерской диссертации;</w:t>
            </w:r>
          </w:p>
          <w:p w:rsidR="00486DEE" w:rsidRPr="00486DEE" w:rsidRDefault="00486DEE" w:rsidP="00486DEE">
            <w:pPr>
              <w:pStyle w:val="a3"/>
              <w:shd w:val="clear" w:color="auto" w:fill="FFFFFF"/>
              <w:tabs>
                <w:tab w:val="left" w:pos="707"/>
              </w:tabs>
              <w:spacing w:after="0"/>
              <w:ind w:left="175" w:right="125"/>
              <w:jc w:val="both"/>
            </w:pPr>
            <w:r w:rsidRPr="00486DEE">
              <w:t>- выбором необходимых методов исследования, модификацией существующих и разработкой новых методов, исходя из задач магистерского исследования;</w:t>
            </w:r>
          </w:p>
          <w:p w:rsidR="00486DEE" w:rsidRPr="00486DEE" w:rsidRDefault="00486DEE" w:rsidP="00486DEE">
            <w:pPr>
              <w:pStyle w:val="a3"/>
              <w:tabs>
                <w:tab w:val="left" w:pos="707"/>
              </w:tabs>
              <w:spacing w:after="0"/>
              <w:ind w:left="175" w:right="125"/>
              <w:jc w:val="both"/>
            </w:pPr>
            <w:r w:rsidRPr="00486DEE">
              <w:t>- закреплением и расширением практических навыков по организации научного исследования, моделированию алгоритма решения научно-исследовательских проблем в режиме изыскательской работы в соответствии с современной методологией науки при соблюдении этапности и логики в проведении их изучения;</w:t>
            </w:r>
          </w:p>
          <w:p w:rsidR="00486DEE" w:rsidRPr="00486DEE" w:rsidRDefault="00486DEE" w:rsidP="00486DEE">
            <w:pPr>
              <w:pStyle w:val="a3"/>
              <w:tabs>
                <w:tab w:val="left" w:pos="707"/>
              </w:tabs>
              <w:spacing w:after="0"/>
              <w:ind w:left="175" w:right="125"/>
              <w:jc w:val="both"/>
            </w:pPr>
            <w:r w:rsidRPr="00486DEE">
              <w:t>- активизацией и стимулированием творческого (креативного) подхода магистрантов к проведению научного исследования;</w:t>
            </w:r>
          </w:p>
          <w:p w:rsidR="00486DEE" w:rsidRPr="00486DEE" w:rsidRDefault="00486DEE" w:rsidP="00486DEE">
            <w:pPr>
              <w:pStyle w:val="a3"/>
              <w:shd w:val="clear" w:color="auto" w:fill="FFFFFF"/>
              <w:tabs>
                <w:tab w:val="left" w:pos="707"/>
              </w:tabs>
              <w:spacing w:after="0"/>
              <w:ind w:left="175" w:right="125"/>
              <w:jc w:val="both"/>
            </w:pPr>
            <w:r w:rsidRPr="00486DEE">
              <w:t>- овладением навыками эффективного поиска, обработки и анализа разнородной информации, необходимой для решения поставленных в рамках научно-исследовательской практики задач;</w:t>
            </w:r>
          </w:p>
          <w:p w:rsidR="00486DEE" w:rsidRPr="00486DEE" w:rsidRDefault="00486DEE" w:rsidP="00486DEE">
            <w:pPr>
              <w:pStyle w:val="a3"/>
              <w:tabs>
                <w:tab w:val="left" w:pos="707"/>
              </w:tabs>
              <w:spacing w:after="0"/>
              <w:ind w:left="175" w:right="125"/>
              <w:jc w:val="both"/>
            </w:pPr>
            <w:r w:rsidRPr="00486DEE">
              <w:t>- формированием умений изложения полученных результатов в виде отчетов, публикаций, презентаций, докладов на семинарах и научных конференциях;</w:t>
            </w:r>
          </w:p>
          <w:p w:rsidR="00486DEE" w:rsidRPr="00486DEE" w:rsidRDefault="00486DEE" w:rsidP="00486DEE">
            <w:pPr>
              <w:pStyle w:val="a3"/>
              <w:shd w:val="clear" w:color="auto" w:fill="FFFFFF"/>
              <w:tabs>
                <w:tab w:val="left" w:pos="707"/>
              </w:tabs>
              <w:spacing w:after="0"/>
              <w:ind w:left="175" w:right="125"/>
              <w:jc w:val="both"/>
            </w:pPr>
            <w:r w:rsidRPr="00486DEE">
              <w:t>- расширением практических навыков участия в инновационных формах научно-исследовательской деятельности.</w:t>
            </w:r>
          </w:p>
        </w:tc>
      </w:tr>
      <w:tr w:rsidR="00486DEE" w:rsidRPr="00486DEE" w:rsidTr="00FD01EC">
        <w:trPr>
          <w:jc w:val="center"/>
        </w:trPr>
        <w:tc>
          <w:tcPr>
            <w:tcW w:w="2361" w:type="dxa"/>
            <w:tcBorders>
              <w:top w:val="single" w:sz="4" w:space="0" w:color="000000"/>
              <w:left w:val="single" w:sz="4" w:space="0" w:color="000000"/>
              <w:bottom w:val="single" w:sz="4" w:space="0" w:color="000000"/>
            </w:tcBorders>
            <w:shd w:val="clear" w:color="auto" w:fill="auto"/>
            <w:vAlign w:val="center"/>
          </w:tcPr>
          <w:p w:rsidR="00486DEE" w:rsidRPr="00486DEE" w:rsidRDefault="00486DEE" w:rsidP="00486DEE">
            <w:pPr>
              <w:pStyle w:val="p4"/>
              <w:spacing w:before="0" w:after="0"/>
              <w:rPr>
                <w:rStyle w:val="s3"/>
                <w:b/>
              </w:rPr>
            </w:pPr>
            <w:r w:rsidRPr="00486DEE">
              <w:rPr>
                <w:rStyle w:val="s3"/>
                <w:b/>
              </w:rPr>
              <w:t>Тематика</w:t>
            </w:r>
          </w:p>
          <w:p w:rsidR="00486DEE" w:rsidRPr="00486DEE" w:rsidRDefault="00486DEE" w:rsidP="00486DEE">
            <w:pPr>
              <w:pStyle w:val="p4"/>
              <w:spacing w:before="0" w:after="0"/>
              <w:rPr>
                <w:rStyle w:val="s3"/>
                <w:b/>
              </w:rPr>
            </w:pPr>
            <w:r w:rsidRPr="00486DEE">
              <w:rPr>
                <w:rStyle w:val="s3"/>
                <w:b/>
              </w:rPr>
              <w:t>научно-</w:t>
            </w:r>
          </w:p>
          <w:p w:rsidR="00486DEE" w:rsidRPr="00486DEE" w:rsidRDefault="00486DEE" w:rsidP="00486DEE">
            <w:pPr>
              <w:pStyle w:val="p4"/>
              <w:spacing w:before="0" w:after="0"/>
              <w:rPr>
                <w:rStyle w:val="s3"/>
                <w:b/>
              </w:rPr>
            </w:pPr>
            <w:r w:rsidRPr="00486DEE">
              <w:rPr>
                <w:rStyle w:val="s3"/>
                <w:b/>
              </w:rPr>
              <w:t>исследовательских</w:t>
            </w:r>
          </w:p>
          <w:p w:rsidR="00486DEE" w:rsidRPr="00486DEE" w:rsidRDefault="00486DEE" w:rsidP="00486DEE">
            <w:pPr>
              <w:pStyle w:val="p4"/>
              <w:spacing w:before="0" w:after="0"/>
              <w:rPr>
                <w:b/>
              </w:rPr>
            </w:pPr>
            <w:r w:rsidRPr="00486DEE">
              <w:rPr>
                <w:rStyle w:val="s3"/>
                <w:b/>
              </w:rPr>
              <w:t>работ</w:t>
            </w:r>
          </w:p>
        </w:tc>
        <w:tc>
          <w:tcPr>
            <w:tcW w:w="7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xml:space="preserve">Научно-исследовательская работа осуществляется по общему направлению, именуемому «Реализация права на судебную защиту». </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Магистрантам предлагается тематика научно-исследовательской работы, которые могут быть дополнительно скорректированы по согласованию с научным руководителем, а также при утверждении предложенной темы на заседании кафедры:</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lastRenderedPageBreak/>
              <w:t>- Модификации единой цивилистической процессуальной формы.</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Система принципов гражданского процессуального права, их современное понимание.</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Судейское усмотрение при рассмотрении и разрешении гражданских дел.</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Содержание института злоупотребления процессуальным правом.</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Виды гражданского судопроизводства и проблемы их систематизации.</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Соотношение исковой формы защиты права с судопроизводством, возникающим из публичных правоотношений.</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xml:space="preserve">- Виды цивилистического процессуального соучастия. </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Современные средства процессуального доказывания по гражданским делам.</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Соотношение устной и письменной формы судопроизводства в гражданском процессе.</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Активность суда и состязательность сторон при рассмотрении гражданских дел.</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Беспристрастность судебного разбирательства: проблемы ее обеспечения.</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Обстоятельства и факты, не подлежащие доказыванию в современном цивилистическом процессе.</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Проблемы подготовки дела к слушанию в суде общей юрисдикции и арбитражном суде.</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Мировое соглашение: материально-правовой и процессуальный аспекты.</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Примирение сторон при рассмотрении гражданских дел: материально-правовое и процессуальное содержание.</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Полная и неполная апелляция в современном отечественном цивилистическом судопроизводстве.</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Проверка законности судебных актов судом кассационной инстанции.</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Содержание деятельности по осуществлению судебного надзора при разрешении гражданских дел.</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Вновь открывшиеся и новые обстоятельства в современном цивилистическом процессе.</w:t>
            </w:r>
          </w:p>
          <w:p w:rsidR="00486DEE" w:rsidRPr="00486DEE" w:rsidRDefault="00486DEE" w:rsidP="00486DEE">
            <w:pPr>
              <w:spacing w:after="0" w:line="240" w:lineRule="auto"/>
              <w:ind w:left="175" w:right="125"/>
              <w:jc w:val="both"/>
              <w:rPr>
                <w:rFonts w:ascii="Times New Roman" w:hAnsi="Times New Roman" w:cs="Times New Roman"/>
                <w:sz w:val="24"/>
                <w:szCs w:val="24"/>
              </w:rPr>
            </w:pPr>
            <w:r w:rsidRPr="00486DEE">
              <w:rPr>
                <w:rFonts w:ascii="Times New Roman" w:hAnsi="Times New Roman" w:cs="Times New Roman"/>
                <w:sz w:val="24"/>
                <w:szCs w:val="24"/>
              </w:rPr>
              <w:t>- Сущность третейского разбирательства и проблемы защиты нарушенного права.</w:t>
            </w:r>
          </w:p>
        </w:tc>
      </w:tr>
      <w:tr w:rsidR="00486DEE" w:rsidRPr="00486DEE" w:rsidTr="00FD01EC">
        <w:trPr>
          <w:jc w:val="center"/>
        </w:trPr>
        <w:tc>
          <w:tcPr>
            <w:tcW w:w="2361" w:type="dxa"/>
            <w:tcBorders>
              <w:top w:val="single" w:sz="4" w:space="0" w:color="000000"/>
              <w:left w:val="single" w:sz="4" w:space="0" w:color="000000"/>
              <w:bottom w:val="single" w:sz="4" w:space="0" w:color="000000"/>
            </w:tcBorders>
            <w:shd w:val="clear" w:color="auto" w:fill="auto"/>
            <w:vAlign w:val="center"/>
          </w:tcPr>
          <w:p w:rsidR="00486DEE" w:rsidRPr="00486DEE" w:rsidRDefault="00486DEE" w:rsidP="00486DEE">
            <w:pPr>
              <w:pStyle w:val="p4"/>
              <w:spacing w:before="0" w:after="0"/>
              <w:rPr>
                <w:rStyle w:val="s3"/>
                <w:b/>
              </w:rPr>
            </w:pPr>
            <w:r w:rsidRPr="00486DEE">
              <w:rPr>
                <w:rStyle w:val="s3"/>
                <w:b/>
              </w:rPr>
              <w:lastRenderedPageBreak/>
              <w:t>Формируемые у</w:t>
            </w:r>
          </w:p>
          <w:p w:rsidR="00486DEE" w:rsidRPr="00486DEE" w:rsidRDefault="00486DEE" w:rsidP="00486DEE">
            <w:pPr>
              <w:pStyle w:val="p4"/>
              <w:spacing w:before="0" w:after="0"/>
              <w:rPr>
                <w:rStyle w:val="s3"/>
                <w:b/>
              </w:rPr>
            </w:pPr>
            <w:r w:rsidRPr="00486DEE">
              <w:rPr>
                <w:rStyle w:val="s3"/>
                <w:b/>
              </w:rPr>
              <w:t>магистранта</w:t>
            </w:r>
          </w:p>
          <w:p w:rsidR="00486DEE" w:rsidRPr="00486DEE" w:rsidRDefault="00486DEE" w:rsidP="00486DEE">
            <w:pPr>
              <w:pStyle w:val="p4"/>
              <w:spacing w:before="0" w:after="0"/>
              <w:rPr>
                <w:b/>
              </w:rPr>
            </w:pPr>
            <w:r w:rsidRPr="00486DEE">
              <w:rPr>
                <w:rStyle w:val="s3"/>
                <w:b/>
              </w:rPr>
              <w:t>компетенции</w:t>
            </w:r>
          </w:p>
        </w:tc>
        <w:tc>
          <w:tcPr>
            <w:tcW w:w="7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EE" w:rsidRPr="00486DEE" w:rsidRDefault="00486DEE" w:rsidP="00486DEE">
            <w:pPr>
              <w:pStyle w:val="p9"/>
              <w:spacing w:before="0" w:after="0"/>
              <w:ind w:left="175" w:right="125"/>
              <w:jc w:val="both"/>
            </w:pPr>
            <w:r w:rsidRPr="00486DEE">
              <w:t>В результате выполнения научно-исследовательской работы магистрант должен обладать следующими компетенциями:</w:t>
            </w:r>
          </w:p>
          <w:p w:rsidR="00486DEE" w:rsidRPr="00486DEE" w:rsidRDefault="00486DEE" w:rsidP="00486DEE">
            <w:pPr>
              <w:pStyle w:val="p4"/>
              <w:spacing w:before="0" w:after="0"/>
              <w:ind w:left="175" w:right="125"/>
              <w:jc w:val="both"/>
            </w:pPr>
            <w:r w:rsidRPr="00486DEE">
              <w:t>ОК-1, ОК-2, ОК-3,ОК-4, ОК-5,</w:t>
            </w:r>
          </w:p>
          <w:p w:rsidR="00486DEE" w:rsidRPr="00486DEE" w:rsidRDefault="00486DEE" w:rsidP="00486DEE">
            <w:pPr>
              <w:pStyle w:val="p4"/>
              <w:spacing w:before="0" w:after="0"/>
              <w:ind w:left="175" w:right="125"/>
              <w:jc w:val="both"/>
            </w:pPr>
            <w:r w:rsidRPr="00486DEE">
              <w:t>ПК-1, ПК-2, ПК-3, ПК-4, ПК-5, ПК-6, ПК-7, ПК-8, ПК-9, ПК-10, ПК-11.</w:t>
            </w:r>
          </w:p>
        </w:tc>
      </w:tr>
      <w:tr w:rsidR="00486DEE" w:rsidRPr="00486DEE" w:rsidTr="00FD01EC">
        <w:trPr>
          <w:jc w:val="center"/>
        </w:trPr>
        <w:tc>
          <w:tcPr>
            <w:tcW w:w="2361" w:type="dxa"/>
            <w:tcBorders>
              <w:top w:val="single" w:sz="4" w:space="0" w:color="000000"/>
              <w:left w:val="single" w:sz="4" w:space="0" w:color="000000"/>
              <w:bottom w:val="single" w:sz="4" w:space="0" w:color="000000"/>
            </w:tcBorders>
            <w:shd w:val="clear" w:color="auto" w:fill="auto"/>
            <w:vAlign w:val="center"/>
          </w:tcPr>
          <w:p w:rsidR="00486DEE" w:rsidRPr="00486DEE" w:rsidRDefault="00486DEE" w:rsidP="00486DEE">
            <w:pPr>
              <w:pStyle w:val="p4"/>
              <w:spacing w:before="0" w:after="0"/>
              <w:rPr>
                <w:rStyle w:val="s3"/>
                <w:b/>
              </w:rPr>
            </w:pPr>
            <w:r w:rsidRPr="00486DEE">
              <w:rPr>
                <w:rStyle w:val="s3"/>
                <w:b/>
              </w:rPr>
              <w:t>Виды научно-</w:t>
            </w:r>
          </w:p>
          <w:p w:rsidR="00486DEE" w:rsidRPr="00486DEE" w:rsidRDefault="00486DEE" w:rsidP="00486DEE">
            <w:pPr>
              <w:pStyle w:val="p4"/>
              <w:spacing w:before="0" w:after="0"/>
              <w:rPr>
                <w:rStyle w:val="s3"/>
                <w:b/>
              </w:rPr>
            </w:pPr>
            <w:r w:rsidRPr="00486DEE">
              <w:rPr>
                <w:rStyle w:val="s3"/>
                <w:b/>
              </w:rPr>
              <w:t>исследовательской</w:t>
            </w:r>
          </w:p>
          <w:p w:rsidR="00486DEE" w:rsidRPr="00486DEE" w:rsidRDefault="00486DEE" w:rsidP="00486DEE">
            <w:pPr>
              <w:pStyle w:val="p4"/>
              <w:spacing w:before="0" w:after="0"/>
              <w:rPr>
                <w:rStyle w:val="s3"/>
                <w:b/>
              </w:rPr>
            </w:pPr>
            <w:r w:rsidRPr="00486DEE">
              <w:rPr>
                <w:rStyle w:val="s3"/>
                <w:b/>
              </w:rPr>
              <w:t>работы</w:t>
            </w:r>
          </w:p>
          <w:p w:rsidR="00486DEE" w:rsidRPr="00486DEE" w:rsidRDefault="00486DEE" w:rsidP="00486DEE">
            <w:pPr>
              <w:pStyle w:val="p4"/>
              <w:spacing w:before="0" w:after="0"/>
              <w:rPr>
                <w:b/>
              </w:rPr>
            </w:pPr>
            <w:r w:rsidRPr="00486DEE">
              <w:rPr>
                <w:rStyle w:val="s3"/>
                <w:b/>
              </w:rPr>
              <w:t>магистранта</w:t>
            </w:r>
          </w:p>
        </w:tc>
        <w:tc>
          <w:tcPr>
            <w:tcW w:w="7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DEE" w:rsidRPr="00486DEE" w:rsidRDefault="00486DEE" w:rsidP="00486DEE">
            <w:pPr>
              <w:pStyle w:val="p18"/>
              <w:spacing w:before="0" w:after="0"/>
              <w:ind w:left="175" w:right="125"/>
              <w:jc w:val="both"/>
              <w:rPr>
                <w:rStyle w:val="s11"/>
              </w:rPr>
            </w:pPr>
            <w:r w:rsidRPr="00486DEE">
              <w:rPr>
                <w:rStyle w:val="s11"/>
              </w:rPr>
              <w:t>- </w:t>
            </w:r>
            <w:r w:rsidRPr="00486DEE">
              <w:rPr>
                <w:rStyle w:val="s12"/>
              </w:rPr>
              <w:t>изучение специальной литературы и другой научной информации, достижений отечественной и зарубежной науки, образцов лучшей практики в научном понимании проблем правосудия;</w:t>
            </w:r>
          </w:p>
          <w:p w:rsidR="00486DEE" w:rsidRPr="00486DEE" w:rsidRDefault="00486DEE" w:rsidP="00486DEE">
            <w:pPr>
              <w:pStyle w:val="p18"/>
              <w:spacing w:before="0" w:after="0"/>
              <w:ind w:left="175" w:right="125"/>
              <w:jc w:val="both"/>
              <w:rPr>
                <w:rStyle w:val="s11"/>
              </w:rPr>
            </w:pPr>
            <w:r w:rsidRPr="00486DEE">
              <w:rPr>
                <w:rStyle w:val="s11"/>
              </w:rPr>
              <w:t>- </w:t>
            </w:r>
            <w:r w:rsidRPr="00486DEE">
              <w:rPr>
                <w:rStyle w:val="s12"/>
              </w:rPr>
              <w:t>участие в проведении научных исследований, осуществлении персональных или коллективных других творческих разработок;</w:t>
            </w:r>
          </w:p>
          <w:p w:rsidR="00486DEE" w:rsidRPr="00486DEE" w:rsidRDefault="00486DEE" w:rsidP="00486DEE">
            <w:pPr>
              <w:pStyle w:val="p18"/>
              <w:spacing w:before="0" w:after="0"/>
              <w:ind w:left="175" w:right="125"/>
              <w:jc w:val="both"/>
              <w:rPr>
                <w:rStyle w:val="s11"/>
              </w:rPr>
            </w:pPr>
            <w:r w:rsidRPr="00486DEE">
              <w:rPr>
                <w:rStyle w:val="s11"/>
              </w:rPr>
              <w:t>- </w:t>
            </w:r>
            <w:r w:rsidRPr="00486DEE">
              <w:rPr>
                <w:rStyle w:val="s12"/>
              </w:rPr>
              <w:t>осуществление сбора, обработки, анализа и систематизации информации по теме (заданию) исследования; формирование способностей к собиранию и интерпретации юридически значимых фактов;</w:t>
            </w:r>
          </w:p>
          <w:p w:rsidR="00486DEE" w:rsidRPr="00486DEE" w:rsidRDefault="00486DEE" w:rsidP="00486DEE">
            <w:pPr>
              <w:pStyle w:val="p19"/>
              <w:spacing w:before="0" w:after="0"/>
              <w:ind w:left="175" w:right="125"/>
              <w:jc w:val="both"/>
              <w:rPr>
                <w:rStyle w:val="s5"/>
              </w:rPr>
            </w:pPr>
            <w:r w:rsidRPr="00486DEE">
              <w:rPr>
                <w:rStyle w:val="s11"/>
              </w:rPr>
              <w:lastRenderedPageBreak/>
              <w:t>- </w:t>
            </w:r>
            <w:r w:rsidRPr="00486DEE">
              <w:rPr>
                <w:rStyle w:val="s5"/>
              </w:rPr>
              <w:t>участие в конкурсах научных работ и заседаниях круглых столов по юридической тематике избранной специальности;</w:t>
            </w:r>
          </w:p>
          <w:p w:rsidR="00486DEE" w:rsidRPr="00486DEE" w:rsidRDefault="00486DEE" w:rsidP="00486DEE">
            <w:pPr>
              <w:pStyle w:val="p19"/>
              <w:spacing w:before="0" w:after="0"/>
              <w:ind w:left="175" w:right="125"/>
              <w:jc w:val="both"/>
            </w:pPr>
            <w:r w:rsidRPr="00486DEE">
              <w:rPr>
                <w:rStyle w:val="s5"/>
              </w:rPr>
              <w:t>- составление отчета (разделов отчета) по теме или ее разделу (этапу, заданию) проведенной научно-исследовательской работы; выступление с докладами на научных конференциях.</w:t>
            </w:r>
          </w:p>
        </w:tc>
      </w:tr>
    </w:tbl>
    <w:p w:rsidR="003F6A72" w:rsidRPr="00486DEE" w:rsidRDefault="003F6A72">
      <w:pPr>
        <w:rPr>
          <w:lang w:val="en-US"/>
        </w:rPr>
      </w:pPr>
    </w:p>
    <w:sectPr w:rsidR="003F6A72" w:rsidRPr="00486DEE" w:rsidSect="00445C71">
      <w:footerReference w:type="even" r:id="rId4"/>
      <w:footerReference w:type="default" r:id="rId5"/>
      <w:footerReference w:type="first" r:id="rId6"/>
      <w:pgSz w:w="11906" w:h="16838"/>
      <w:pgMar w:top="1134" w:right="1134" w:bottom="1134" w:left="1134" w:header="720" w:footer="70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D7" w:rsidRDefault="003F6A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D7" w:rsidRDefault="003F6A72">
    <w:pPr>
      <w:pStyle w:val="a5"/>
      <w:ind w:right="360"/>
      <w:jc w:val="right"/>
    </w:pPr>
    <w:r>
      <w:pict>
        <v:shapetype id="_x0000_t202" coordsize="21600,21600" o:spt="202" path="m,l,21600r21600,l21600,xe">
          <v:stroke joinstyle="miter"/>
          <v:path gradientshapeok="t" o:connecttype="rect"/>
        </v:shapetype>
        <v:shape id="_x0000_s2049" type="#_x0000_t202" style="position:absolute;left:0;text-align:left;margin-left:548.9pt;margin-top:.05pt;width:17.95pt;height:13.7pt;z-index:251660288;mso-wrap-distance-left:0;mso-wrap-distance-right:0;mso-position-horizontal-relative:page" stroked="f">
          <v:fill color2="black"/>
          <v:textbox inset="0,0,0,0">
            <w:txbxContent>
              <w:p w:rsidR="00361BD7" w:rsidRPr="006D5E70" w:rsidRDefault="003F6A72" w:rsidP="006D5E70"/>
            </w:txbxContent>
          </v:textbox>
          <w10:wrap type="square" side="largest"/>
        </v:shape>
      </w:pict>
    </w:r>
  </w:p>
  <w:p w:rsidR="00361BD7" w:rsidRDefault="003F6A7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D7" w:rsidRDefault="003F6A72">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3074"/>
    <o:shapelayout v:ext="edit">
      <o:idmap v:ext="edit" data="2"/>
    </o:shapelayout>
  </w:hdrShapeDefaults>
  <w:compat>
    <w:useFELayout/>
  </w:compat>
  <w:rsids>
    <w:rsidRoot w:val="00486DEE"/>
    <w:rsid w:val="003F6A72"/>
    <w:rsid w:val="00486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basedOn w:val="a0"/>
    <w:rsid w:val="00486DEE"/>
  </w:style>
  <w:style w:type="character" w:customStyle="1" w:styleId="s5">
    <w:name w:val="s5"/>
    <w:basedOn w:val="a0"/>
    <w:rsid w:val="00486DEE"/>
  </w:style>
  <w:style w:type="character" w:customStyle="1" w:styleId="s11">
    <w:name w:val="s11"/>
    <w:basedOn w:val="a0"/>
    <w:rsid w:val="00486DEE"/>
  </w:style>
  <w:style w:type="character" w:customStyle="1" w:styleId="s12">
    <w:name w:val="s12"/>
    <w:basedOn w:val="a0"/>
    <w:rsid w:val="00486DEE"/>
  </w:style>
  <w:style w:type="paragraph" w:styleId="a3">
    <w:name w:val="Body Text"/>
    <w:basedOn w:val="a"/>
    <w:link w:val="a4"/>
    <w:rsid w:val="00486DEE"/>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486DEE"/>
    <w:rPr>
      <w:rFonts w:ascii="Times New Roman" w:eastAsia="Times New Roman" w:hAnsi="Times New Roman" w:cs="Times New Roman"/>
      <w:sz w:val="24"/>
      <w:szCs w:val="24"/>
      <w:lang w:eastAsia="zh-CN"/>
    </w:rPr>
  </w:style>
  <w:style w:type="paragraph" w:customStyle="1" w:styleId="p4">
    <w:name w:val="p4"/>
    <w:basedOn w:val="a"/>
    <w:rsid w:val="00486DE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9">
    <w:name w:val="p9"/>
    <w:basedOn w:val="a"/>
    <w:rsid w:val="00486DE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8">
    <w:name w:val="p18"/>
    <w:basedOn w:val="a"/>
    <w:rsid w:val="00486DE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9">
    <w:name w:val="p19"/>
    <w:basedOn w:val="a"/>
    <w:rsid w:val="00486DEE"/>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er"/>
    <w:basedOn w:val="a"/>
    <w:link w:val="a6"/>
    <w:rsid w:val="00486DE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5"/>
    <w:rsid w:val="00486DEE"/>
    <w:rPr>
      <w:rFonts w:ascii="Times New Roman" w:eastAsia="Times New Roman" w:hAnsi="Times New Roman" w:cs="Times New Roman"/>
      <w:sz w:val="24"/>
      <w:szCs w:val="24"/>
      <w:lang w:eastAsia="zh-CN"/>
    </w:rPr>
  </w:style>
  <w:style w:type="paragraph" w:styleId="a7">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
    <w:uiPriority w:val="99"/>
    <w:rsid w:val="00486DEE"/>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Company>rfrap</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2018-04-11T07:31:00Z</dcterms:created>
  <dcterms:modified xsi:type="dcterms:W3CDTF">2018-04-11T07:33:00Z</dcterms:modified>
</cp:coreProperties>
</file>